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3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jc w:val="right"/>
        <w:spacing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письму Депкультуры Югры</w:t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jc w:val="right"/>
        <w:spacing w:after="0" w:afterAutospacing="0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</w:rPr>
        <w:t xml:space="preserve"> от ___________ № _______</w:t>
      </w:r>
      <w:r/>
      <w:r/>
    </w:p>
    <w:p>
      <w:pPr>
        <w:jc w:val="right"/>
        <w:spacing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 участниках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 xml:space="preserve">IX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Чемпионат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а Ханты-Мансийского автономн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округа – Югры «Абилимпикс»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в 202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4 году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tbl>
      <w:tblPr>
        <w:tblStyle w:val="4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2126"/>
        <w:gridCol w:w="2268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Наименование учреждения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ФИО,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контактный телефон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 участника Чемпионата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Наименование компетенции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наставника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учреждения культуры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</w:p>
        </w:tc>
      </w:tr>
    </w:tbl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417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2024-01-10T06:21:40Z</dcterms:modified>
</cp:coreProperties>
</file>